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rPr>
          <w:bCs/>
          <w:b/>
        </w:rPr>
        <w:t xml:space="preserve">Lesson: Absolute Value Inequalities</w:t>
      </w:r>
    </w:p>
    <w:p/>
    <w:p/>
    <w:p>
      <w:pPr>
        <w:pStyle w:val="BodyText"/>
      </w:pPr>
      <w:r>
        <w:t xml:space="preserve">Absolute value inequalities have 2 key aspects to solving them. What are those 2 key aspects?</w:t>
      </w:r>
    </w:p>
    <w:p/>
    <w:p/>
    <w:p/>
    <w:p/>
    <w:p/>
    <w:p>
      <w:pPr>
        <w:pStyle w:val="BodyText"/>
      </w:pPr>
      <w:r>
        <w:t xml:space="preserve">Explain the setup to solve an absolute value inequality of the form</w:t>
      </w:r>
      <w:r>
        <w:t xml:space="preserve"> </w:t>
      </w:r>
      <m:oMath>
        <m:d>
          <m:dPr>
            <m:begChr m:val="|"/>
            <m:endChr m:val="|"/>
            <m:sepChr m:val=""/>
            <m:grow/>
          </m:dPr>
          <m:e>
            <m:r>
              <m:t>P</m:t>
            </m:r>
          </m:e>
        </m:d>
        <m:r>
          <m:rPr>
            <m:sty m:val="p"/>
          </m:rPr>
          <m:t>≤</m:t>
        </m:r>
        <m:r>
          <m:t>k</m:t>
        </m:r>
      </m:oMath>
      <w:r>
        <w:t xml:space="preserve"> </w:t>
      </w:r>
      <w:r>
        <w:t xml:space="preserve">(or</w:t>
      </w:r>
      <w:r>
        <w:t xml:space="preserve"> </w:t>
      </w:r>
      <m:oMath>
        <m:r>
          <m:rPr>
            <m:sty m:val="p"/>
          </m:rPr>
          <m:t>&lt;</m:t>
        </m:r>
        <m:r>
          <m:t>k</m:t>
        </m:r>
      </m:oMath>
      <w:r>
        <w:t xml:space="preserve">).</w:t>
      </w:r>
    </w:p>
    <w:p/>
    <w:p/>
    <w:p/>
    <w:p/>
    <w:p/>
    <w:p>
      <w:pPr>
        <w:pStyle w:val="BodyText"/>
      </w:pPr>
      <w:r>
        <w:t xml:space="preserve">Explain the setup to solve an absolute value inequality of the form</w:t>
      </w:r>
      <w:r>
        <w:t xml:space="preserve"> </w:t>
      </w:r>
      <m:oMath>
        <m:d>
          <m:dPr>
            <m:begChr m:val="|"/>
            <m:endChr m:val="|"/>
            <m:sepChr m:val=""/>
            <m:grow/>
          </m:dPr>
          <m:e>
            <m:r>
              <m:t>P</m:t>
            </m:r>
          </m:e>
        </m:d>
        <m:r>
          <m:rPr>
            <m:sty m:val="p"/>
          </m:rPr>
          <m:t>≥</m:t>
        </m:r>
        <m:r>
          <m:t>k</m:t>
        </m:r>
      </m:oMath>
      <w:r>
        <w:t xml:space="preserve"> </w:t>
      </w:r>
      <w:r>
        <w:t xml:space="preserve">(or</w:t>
      </w:r>
      <w:r>
        <w:t xml:space="preserve"> </w:t>
      </w:r>
      <m:oMath>
        <m:r>
          <m:rPr>
            <m:sty m:val="p"/>
          </m:rPr>
          <m:t>&gt;</m:t>
        </m:r>
        <m:r>
          <m:t>k</m:t>
        </m:r>
      </m:oMath>
      <w:r>
        <w:t xml:space="preserve">).</w:t>
      </w:r>
    </w:p>
    <w:p/>
    <w:p/>
    <w:p/>
    <w:p/>
    <w:p/>
    <w:p>
      <w:r>
        <w:br w:type="page"/>
      </w:r>
    </w:p>
    <w:p>
      <w:pPr>
        <w:pStyle w:val="BodyText"/>
      </w:pPr>
      <w:r>
        <w:t xml:space="preserve">Let’s try to understand why these are setup this way.</w:t>
      </w:r>
    </w:p>
    <w:p/>
    <w:p/>
    <w:p>
      <w:pPr>
        <w:pStyle w:val="BodyText"/>
      </w:pPr>
      <w:r>
        <w:t xml:space="preserve">Explain the solutions to</w:t>
      </w:r>
      <w:r>
        <w:t xml:space="preserve"> </w:t>
      </w:r>
      <m:oMath>
        <m:d>
          <m:dPr>
            <m:begChr m:val="|"/>
            <m:endChr m:val="|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&lt;</m:t>
        </m:r>
        <m:r>
          <m:t>3</m:t>
        </m:r>
      </m:oMath>
      <w:r>
        <w:t xml:space="preserve">. Summarize what was explained in the video.</w:t>
      </w:r>
    </w:p>
    <w:p/>
    <w:p/>
    <w:p/>
    <w:p/>
    <w:p/>
    <w:p/>
    <w:p/>
    <w:p>
      <w:pPr>
        <w:pStyle w:val="BodyText"/>
      </w:pPr>
      <w:r>
        <w:t xml:space="preserve">Explain the solutions to</w:t>
      </w:r>
      <w:r>
        <w:t xml:space="preserve"> </w:t>
      </w:r>
      <m:oMath>
        <m:d>
          <m:dPr>
            <m:begChr m:val="|"/>
            <m:endChr m:val="|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≥</m:t>
        </m:r>
        <m:r>
          <m:t>3</m:t>
        </m:r>
      </m:oMath>
      <w:r>
        <w:t xml:space="preserve">. Summarize what was explained in the video.</w:t>
      </w:r>
    </w:p>
    <w:p/>
    <w:p/>
    <w:p/>
    <w:p/>
    <w:p/>
    <w:p/>
    <w:p/>
    <w:p>
      <w:r>
        <w:br w:type="page"/>
      </w:r>
    </w:p>
    <w:p>
      <w:pPr>
        <w:pStyle w:val="BodyText"/>
      </w:pPr>
      <w:r>
        <w:rPr>
          <w:bCs/>
          <w:b/>
        </w:rPr>
        <w:t xml:space="preserve">Examples</w:t>
      </w:r>
      <w:r>
        <w:t xml:space="preserve"> </w:t>
      </w:r>
      <w:r>
        <w:t xml:space="preserve">Solve the following inequalities. Graph your solution set on a number line and express your solution in interval notation.</w:t>
      </w:r>
    </w:p>
    <w:p/>
    <w:p>
      <w:pPr>
        <w:pStyle w:val="BodyText"/>
      </w:pPr>
      <w:r>
        <w:t xml:space="preserve">a. </w:t>
      </w:r>
      <m:oMath>
        <m:d>
          <m:dPr>
            <m:begChr m:val="|"/>
            <m:endChr m:val="|"/>
            <m:sepChr m:val=""/>
            <m:grow/>
          </m:dPr>
          <m:e>
            <m:r>
              <m:t>2</m:t>
            </m:r>
            <m:r>
              <m:t>x</m:t>
            </m:r>
            <m:r>
              <m:rPr>
                <m:sty m:val="p"/>
              </m:rPr>
              <m:t>−</m:t>
            </m:r>
            <m:r>
              <m:t>4</m:t>
            </m:r>
          </m:e>
        </m:d>
        <m:r>
          <m:rPr>
            <m:sty m:val="p"/>
          </m:rPr>
          <m:t>&lt;</m:t>
        </m:r>
        <m:r>
          <m:t>6</m:t>
        </m:r>
      </m:oMath>
    </w:p>
    <w:p/>
    <w:p/>
    <w:p/>
    <w:p/>
    <w:p/>
    <w:p>
      <w:pPr>
        <w:pStyle w:val="BodyText"/>
      </w:pPr>
      <w:r>
        <w:t xml:space="preserve">b. </w:t>
      </w:r>
      <m:oMath>
        <m:d>
          <m:dPr>
            <m:begChr m:val="|"/>
            <m:endChr m:val="|"/>
            <m:sepChr m:val=""/>
            <m:grow/>
          </m:dPr>
          <m:e>
            <m:r>
              <m:t>3</m:t>
            </m:r>
            <m:r>
              <m:t>x</m:t>
            </m:r>
            <m:r>
              <m:rPr>
                <m:sty m:val="p"/>
              </m:rPr>
              <m:t>+</m:t>
            </m:r>
            <m:r>
              <m:t>6</m:t>
            </m:r>
          </m:e>
        </m:d>
        <m:r>
          <m:rPr>
            <m:sty m:val="p"/>
          </m:rPr>
          <m:t>≥</m:t>
        </m:r>
        <m:r>
          <m:t>9</m:t>
        </m:r>
      </m:oMath>
    </w:p>
    <w:p/>
    <w:p/>
    <w:p/>
    <w:p/>
    <w:p/>
    <w:p>
      <w:pPr>
        <w:pStyle w:val="BodyText"/>
      </w:pPr>
      <w:r>
        <w:t xml:space="preserve">c. </w:t>
      </w:r>
      <m:oMath>
        <m:d>
          <m:dPr>
            <m:begChr m:val="|"/>
            <m:endChr m:val="|"/>
            <m:sepChr m:val=""/>
            <m:grow/>
          </m:dPr>
          <m:e>
            <m:r>
              <m:t>x</m:t>
            </m:r>
            <m:r>
              <m:rPr>
                <m:sty m:val="p"/>
              </m:rPr>
              <m:t>−</m:t>
            </m:r>
            <m:r>
              <m:t>5</m:t>
            </m:r>
          </m:e>
        </m:d>
        <m:r>
          <m:rPr>
            <m:sty m:val="p"/>
          </m:rPr>
          <m:t>−</m:t>
        </m:r>
        <m:r>
          <m:t>4</m:t>
        </m:r>
        <m:r>
          <m:rPr>
            <m:sty m:val="p"/>
          </m:rPr>
          <m:t>≤</m:t>
        </m:r>
        <m:r>
          <m:t>6</m:t>
        </m:r>
      </m:oMath>
    </w:p>
    <w:p/>
    <w:p/>
    <w:p/>
    <w:p/>
    <w:p/>
    <w:p>
      <w:r>
        <w:br w:type="page"/>
      </w:r>
    </w:p>
    <w:p>
      <w:pPr>
        <w:pStyle w:val="BodyText"/>
      </w:pPr>
      <w:r>
        <w:t xml:space="preserve">d. </w:t>
      </w:r>
      <m:oMath>
        <m:r>
          <m:t>5</m:t>
        </m:r>
        <m:r>
          <m:rPr>
            <m:sty m:val="p"/>
          </m:rPr>
          <m:t>≥</m:t>
        </m:r>
        <m:d>
          <m:dPr>
            <m:begChr m:val="|"/>
            <m:endChr m:val="|"/>
            <m:sepChr m:val=""/>
            <m:grow/>
          </m:dPr>
          <m:e>
            <m:r>
              <m:t>3</m:t>
            </m:r>
            <m:r>
              <m:t>x</m:t>
            </m:r>
            <m:r>
              <m:rPr>
                <m:sty m:val="p"/>
              </m:rPr>
              <m:t>−</m:t>
            </m:r>
            <m:r>
              <m:t>4</m:t>
            </m:r>
          </m:e>
        </m:d>
      </m:oMath>
    </w:p>
    <w:p/>
    <w:p/>
    <w:p/>
    <w:p/>
    <w:p/>
    <w:p/>
    <w:p/>
    <w:p>
      <w:pPr>
        <w:pStyle w:val="BodyText"/>
      </w:pPr>
      <w:r>
        <w:t xml:space="preserve">e. </w:t>
      </w:r>
      <m:oMath>
        <m:r>
          <m:t>7</m:t>
        </m:r>
        <m:r>
          <m:rPr>
            <m:sty m:val="p"/>
          </m:rPr>
          <m:t>&lt;</m:t>
        </m:r>
        <m:r>
          <m:t>3</m:t>
        </m:r>
        <m:r>
          <m:rPr>
            <m:sty m:val="p"/>
          </m:rPr>
          <m:t>+</m:t>
        </m:r>
        <m:d>
          <m:dPr>
            <m:begChr m:val="|"/>
            <m:endChr m:val="|"/>
            <m:sepChr m:val=""/>
            <m:grow/>
          </m:dPr>
          <m:e>
            <m:r>
              <m:t>x</m:t>
            </m:r>
            <m:r>
              <m:rPr>
                <m:sty m:val="p"/>
              </m:rPr>
              <m:t>−</m:t>
            </m:r>
            <m:r>
              <m:t>4</m:t>
            </m:r>
          </m:e>
        </m:d>
      </m:oMath>
    </w:p>
    <w:p/>
    <w:p/>
    <w:p/>
    <w:p/>
    <w:p/>
    <w:p/>
    <w:p/>
    <w:p>
      <w:pPr>
        <w:pStyle w:val="BodyText"/>
      </w:pPr>
      <w:r>
        <w:t xml:space="preserve">f. </w:t>
      </w:r>
      <m:oMath>
        <m:r>
          <m:t>6</m:t>
        </m:r>
        <m:r>
          <m:rPr>
            <m:sty m:val="p"/>
          </m:rPr>
          <m:t>≤</m:t>
        </m:r>
        <m:r>
          <m:t>4</m:t>
        </m:r>
        <m:r>
          <m:rPr>
            <m:sty m:val="p"/>
          </m:rPr>
          <m:t>+</m:t>
        </m:r>
        <m:d>
          <m:dPr>
            <m:begChr m:val="|"/>
            <m:endChr m:val="|"/>
            <m:sepChr m:val=""/>
            <m:grow/>
          </m:dPr>
          <m:e>
            <m:r>
              <m:t>8</m:t>
            </m:r>
            <m:r>
              <m:rPr>
                <m:sty m:val="p"/>
              </m:rPr>
              <m:t>−</m:t>
            </m:r>
            <m:r>
              <m:t>2</m:t>
            </m:r>
            <m:r>
              <m:t>x</m:t>
            </m:r>
          </m:e>
        </m:d>
      </m:oMath>
    </w:p>
    <w:p/>
    <w:p/>
    <w:p/>
    <w:p/>
    <w:p/>
    <w:p/>
    <w:p/>
    <w:sectPr w:rsidR="003D42C9" w:rsidRPr="003D42C9" w:rsidSect="00240C55">
      <w:footerReference r:id="rId9" w:type="default"/>
      <w:pgSz w:h="15840" w:w="12240"/>
      <w:pgMar w:bottom="720" w:footer="720" w:gutter="0" w:header="720" w:left="720" w:right="720" w:top="72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Footer"/>
    </w:pPr>
    <w:r>
      <w:t xml:space="preserve">Copyright 2023, Jennifer Hill, DivideandConquerMath.com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hanging="360" w:left="720"/>
      </w:pPr>
      <w:rPr>
        <w:rFonts w:ascii="Wingdings" w:cstheme="minorBidi" w:eastAsiaTheme="minorEastAsia" w:hAnsi="Wingdings" w:hint="default"/>
        <w:i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3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4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5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6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hanging="360" w:left="720"/>
      </w:pPr>
      <w:rPr>
        <w:rFonts w:ascii="Wingdings" w:cstheme="minorBidi" w:eastAsiaTheme="minorEastAsia" w:hAnsi="Wingdings" w:hint="default"/>
        <w:i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7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8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16cid:durableId="1118448428" w:numId="1">
    <w:abstractNumId w:val="2"/>
  </w:num>
  <w:num w16cid:durableId="689139488" w:numId="2">
    <w:abstractNumId w:val="3"/>
  </w:num>
  <w:num w16cid:durableId="305744910" w:numId="3">
    <w:abstractNumId w:val="1"/>
  </w:num>
  <w:num w16cid:durableId="1518613981" w:numId="4">
    <w:abstractNumId w:val="6"/>
  </w:num>
  <w:num w16cid:durableId="1756703298" w:numId="5">
    <w:abstractNumId w:val="0"/>
  </w:num>
  <w:num w16cid:durableId="1019310988" w:numId="6">
    <w:abstractNumId w:val="5"/>
  </w:num>
  <w:num w16cid:durableId="1581213623" w:numId="7">
    <w:abstractNumId w:val="7"/>
  </w:num>
  <w:num w16cid:durableId="1728143853" w:numId="8">
    <w:abstractNumId w:val="4"/>
  </w:num>
  <w:num w16cid:durableId="937910217" w:numId="9">
    <w:abstractNumId w:val="8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embedSystemFonts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proofState w:grammar="clean"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</w:style>
  <w:style w:styleId="Heading4" w:type="paragraph">
    <w:name w:val="heading 4"/>
    <w:basedOn w:val="Normal"/>
    <w:link w:val="Heading4Char"/>
    <w:uiPriority w:val="9"/>
    <w:qFormat/>
    <w:rsid w:val="00E45B8F"/>
    <w:pPr>
      <w:outlineLvl w:val="3"/>
    </w:pPr>
    <w:rPr>
      <w:b/>
      <w:b/>
      <w:bCs/>
    </w:rPr>
  </w:style>
  <w:style w:styleId="Heading5" w:type="paragraph">
    <w:name w:val="heading 5"/>
    <w:basedOn w:val="Normal"/>
    <w:link w:val="Heading5Char"/>
    <w:uiPriority w:val="9"/>
    <w:qFormat/>
    <w:rsid w:val="00E45B8F"/>
    <w:pPr>
      <w:outlineLvl w:val="4"/>
    </w:pPr>
    <w:rPr>
      <w:b/>
      <w:b/>
      <w:bCs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PlaceholderText" w:type="character">
    <w:name w:val="Placeholder Text"/>
    <w:basedOn w:val="DefaultParagraphFont"/>
    <w:uiPriority w:val="99"/>
    <w:semiHidden/>
    <w:rsid w:val="00240C55"/>
    <w:rPr>
      <w:color w:val="808080"/>
    </w:rPr>
  </w:style>
  <w:style w:styleId="ListParagraph" w:type="paragraph">
    <w:name w:val="List Paragraph"/>
    <w:basedOn w:val="Normal"/>
    <w:uiPriority w:val="34"/>
    <w:qFormat/>
    <w:rsid w:val="009044B7"/>
    <w:pPr>
      <w:ind w:left="720"/>
      <w:contextualSpacing/>
    </w:pPr>
  </w:style>
  <w:style w:styleId="TableGrid" w:type="table">
    <w:name w:val="Table Grid"/>
    <w:basedOn w:val="TableNormal"/>
    <w:uiPriority w:val="39"/>
    <w:rsid w:val="008451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eader" w:type="paragraph">
    <w:name w:val="header"/>
    <w:basedOn w:val="Normal"/>
    <w:link w:val="HeaderChar"/>
    <w:uiPriority w:val="99"/>
    <w:unhideWhenUsed/>
    <w:rsid w:val="002B1E9C"/>
    <w:pPr>
      <w:tabs>
        <w:tab w:pos="4680" w:val="center"/>
        <w:tab w:pos="9360" w:val="right"/>
      </w:tabs>
      <w:spacing w:after="0" w:line="240" w:lineRule="auto"/>
    </w:pPr>
  </w:style>
  <w:style w:customStyle="1" w:styleId="HeaderChar" w:type="character">
    <w:name w:val="Header Char"/>
    <w:basedOn w:val="DefaultParagraphFont"/>
    <w:link w:val="Header"/>
    <w:uiPriority w:val="99"/>
    <w:rsid w:val="002B1E9C"/>
  </w:style>
  <w:style w:styleId="Footer" w:type="paragraph">
    <w:name w:val="footer"/>
    <w:basedOn w:val="Normal"/>
    <w:link w:val="FooterChar"/>
    <w:uiPriority w:val="99"/>
    <w:unhideWhenUsed/>
    <w:rsid w:val="002B1E9C"/>
    <w:pPr>
      <w:tabs>
        <w:tab w:pos="4680" w:val="center"/>
        <w:tab w:pos="9360" w:val="right"/>
      </w:tabs>
      <w:spacing w:after="0" w:line="240" w:lineRule="auto"/>
    </w:pPr>
  </w:style>
  <w:style w:customStyle="1" w:styleId="FooterChar" w:type="character">
    <w:name w:val="Footer Char"/>
    <w:basedOn w:val="DefaultParagraphFont"/>
    <w:link w:val="Footer"/>
    <w:uiPriority w:val="99"/>
    <w:rsid w:val="002B1E9C"/>
  </w:style>
  <w:style w:styleId="BalloonText" w:type="paragraph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F76971"/>
    <w:rPr>
      <w:rFonts w:ascii="Segoe UI" w:cs="Segoe UI" w:hAnsi="Segoe UI"/>
      <w:sz w:val="18"/>
      <w:szCs w:val="18"/>
    </w:rPr>
  </w:style>
  <w:style w:customStyle="1" w:styleId="rvtxt" w:type="character">
    <w:name w:val="rvtxt"/>
    <w:basedOn w:val="DefaultParagraphFont"/>
    <w:rsid w:val="00367C9F"/>
  </w:style>
  <w:style w:customStyle="1" w:styleId="txtnum" w:type="character">
    <w:name w:val="txtnum"/>
    <w:basedOn w:val="DefaultParagraphFont"/>
    <w:rsid w:val="00367C9F"/>
  </w:style>
  <w:style w:customStyle="1" w:styleId="wbr" w:type="character">
    <w:name w:val="wbr"/>
    <w:basedOn w:val="DefaultParagraphFont"/>
    <w:rsid w:val="00367C9F"/>
  </w:style>
  <w:style w:customStyle="1" w:styleId="nowrap" w:type="character">
    <w:name w:val="nowrap"/>
    <w:basedOn w:val="DefaultParagraphFont"/>
    <w:rsid w:val="00367C9F"/>
  </w:style>
  <w:style w:customStyle="1" w:styleId="eqmathbb" w:type="character">
    <w:name w:val="eqmathbb"/>
    <w:basedOn w:val="DefaultParagraphFont"/>
    <w:rsid w:val="00367C9F"/>
  </w:style>
  <w:style w:customStyle="1" w:styleId="eqtext" w:type="character">
    <w:name w:val="eqtext"/>
    <w:basedOn w:val="DefaultParagraphFont"/>
    <w:rsid w:val="00367C9F"/>
  </w:style>
  <w:style w:customStyle="1" w:styleId="eqspace" w:type="character">
    <w:name w:val="eqspace"/>
    <w:basedOn w:val="DefaultParagraphFont"/>
    <w:rsid w:val="00367C9F"/>
  </w:style>
  <w:style w:styleId="PlainTable2" w:type="table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80" w:val="single"/>
        <w:bottom w:color="7F7F7F" w:space="0" w:sz="4" w:themeColor="text1" w:themeTint="80" w:val="single"/>
      </w:tblBorders>
    </w:tblPr>
    <w:tblStylePr w:type="firstRow">
      <w:rPr>
        <w:b/>
        <w:bC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</w:rPr>
      <w:tblPr/>
      <w:tcPr>
        <w:tcBorders>
          <w:top w:color="7F7F7F" w:space="0" w:sz="4" w:themeColor="text1" w:themeTint="8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2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1Horz">
      <w:tblPr/>
      <w:tcPr>
        <w:tcBorders>
          <w:top w:color="7F7F7F" w:space="0" w:sz="4" w:themeColor="text1" w:themeTint="80" w:val="single"/>
          <w:bottom w:color="7F7F7F" w:space="0" w:sz="4" w:themeColor="text1" w:themeTint="80" w:val="single"/>
        </w:tcBorders>
      </w:tcPr>
    </w:tblStylePr>
  </w:style>
  <w:style w:styleId="PlainTable3" w:type="table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color="7F7F7F" w:space="0" w:sz="4" w:themeColor="text1" w:themeTint="80" w:val="single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styleId="PlainTable4" w:type="table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Heading4Char" w:type="character">
    <w:name w:val="Heading 4 Char"/>
    <w:basedOn w:val="DefaultParagraphFont"/>
    <w:link w:val="Heading4"/>
    <w:uiPriority w:val="9"/>
    <w:rsid w:val="00E45B8F"/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Heading5Char" w:type="character">
    <w:name w:val="Heading 5 Char"/>
    <w:basedOn w:val="DefaultParagraphFont"/>
    <w:link w:val="Heading5"/>
    <w:uiPriority w:val="9"/>
    <w:rsid w:val="00E45B8F"/>
    <w:rPr>
      <w:rFonts w:ascii="Times New Roman" w:cs="Times New Roman" w:eastAsia="Times New Roman" w:hAnsi="Times New Roman"/>
      <w:b/>
      <w:bCs/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Absolute Value Inequalities</dc:title>
  <dc:creator/>
  <cp:keywords/>
  <dcterms:created xsi:type="dcterms:W3CDTF">2026-07-16T23:56:59Z</dcterms:created>
  <dcterms:modified xsi:type="dcterms:W3CDTF">2026-07-16T23:56:59Z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